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sz w:val="36"/>
          <w:szCs w:val="36"/>
        </w:rPr>
        <w:t xml:space="preserve">Анкета квалификации участника госзакупок</w:t>
      </w:r>
    </w:p>
    <w:p>
      <w:pPr>
        <w:spacing w:after="160"/>
      </w:pPr>
      <w:r>
        <w:rPr>
          <w:i/>
          <w:iCs/>
          <w:color w:val="666666"/>
        </w:rPr>
        <w:t xml:space="preserve">ТендерАгент KZ · профиль для автоматического отбора тендеров</w:t>
      </w:r>
    </w:p>
    <w:p>
      <w:pPr>
        <w:spacing w:after="120"/>
      </w:pPr>
      <w:r>
        <w:rPr>
          <w:color w:val="888888"/>
          <w:sz w:val="18"/>
          <w:szCs w:val="18"/>
        </w:rPr>
        <w:t xml:space="preserve">Инструкция: заполните поля печатным текстом, заменяя примеры (серый курсив). Не удаляйте названия полей и заголовки. Сохраните в .docx и загрузите: Настройки → «Загрузить и распознать». Неприменимое оставьте как есть или поставьте прочерк.</w:t>
      </w:r>
    </w:p>
    <w:p>
      <w:pPr>
        <w:pStyle w:val="Heading1"/>
      </w:pPr>
      <w:r>
        <w:t xml:space="preserve">1. Сведения о компании</w:t>
      </w:r>
    </w:p>
    <w:p>
      <w:pPr>
        <w:spacing w:after="60"/>
      </w:pPr>
      <w:r>
        <w:rPr>
          <w:b/>
          <w:bCs/>
        </w:rPr>
        <w:t xml:space="preserve">Наименование: </w:t>
      </w:r>
      <w:r>
        <w:rPr>
          <w:i/>
          <w:iCs/>
          <w:color w:val="7a8aa0"/>
        </w:rPr>
        <w:t xml:space="preserve">ТОО «ИНТЕРПРО»</w:t>
      </w:r>
    </w:p>
    <w:p>
      <w:pPr>
        <w:spacing w:after="60"/>
      </w:pPr>
      <w:r>
        <w:rPr>
          <w:b/>
          <w:bCs/>
        </w:rPr>
        <w:t xml:space="preserve">БИН: </w:t>
      </w:r>
      <w:r>
        <w:rPr>
          <w:i/>
          <w:iCs/>
          <w:color w:val="7a8aa0"/>
        </w:rPr>
        <w:t xml:space="preserve">240640016185</w:t>
      </w:r>
    </w:p>
    <w:p>
      <w:pPr>
        <w:spacing w:after="60"/>
      </w:pPr>
      <w:r>
        <w:rPr>
          <w:b/>
          <w:bCs/>
        </w:rPr>
        <w:t xml:space="preserve">Регион: </w:t>
      </w:r>
      <w:r>
        <w:rPr>
          <w:i/>
          <w:iCs/>
          <w:color w:val="7a8aa0"/>
        </w:rPr>
        <w:t xml:space="preserve">Карагандинская обл.</w:t>
      </w:r>
    </w:p>
    <w:p>
      <w:pPr>
        <w:spacing w:after="60"/>
      </w:pPr>
      <w:r>
        <w:rPr>
          <w:b/>
          <w:bCs/>
        </w:rPr>
        <w:t xml:space="preserve">Адрес: </w:t>
      </w:r>
      <w:r>
        <w:rPr>
          <w:i/>
          <w:iCs/>
          <w:color w:val="7a8aa0"/>
        </w:rPr>
        <w:t xml:space="preserve">г. Караганда, ул. Космонавтов, 1/8</w:t>
      </w:r>
    </w:p>
    <w:p>
      <w:pPr>
        <w:spacing w:after="60"/>
      </w:pPr>
      <w:r>
        <w:rPr>
          <w:b/>
          <w:bCs/>
        </w:rPr>
        <w:t xml:space="preserve">Контакты: </w:t>
      </w:r>
      <w:r>
        <w:rPr>
          <w:i/>
          <w:iCs/>
          <w:color w:val="7a8aa0"/>
        </w:rPr>
        <w:t xml:space="preserve">e-mail, телефон</w:t>
      </w:r>
    </w:p>
    <w:p>
      <w:pPr>
        <w:pStyle w:val="Heading1"/>
      </w:pPr>
      <w:r>
        <w:t xml:space="preserve">2. Лицензии и разрешения (допуски)</w:t>
      </w:r>
    </w:p>
    <w:p>
      <w:pPr>
        <w:spacing w:after="60"/>
      </w:pPr>
      <w:r>
        <w:rPr>
          <w:b/>
          <w:bCs/>
        </w:rPr>
        <w:t xml:space="preserve">Вид лицензии: </w:t>
      </w:r>
      <w:r>
        <w:rPr>
          <w:i/>
          <w:iCs/>
          <w:color w:val="7a8aa0"/>
        </w:rPr>
        <w:t xml:space="preserve">СМР (строительно-монтажные работы)</w:t>
      </w:r>
    </w:p>
    <w:p>
      <w:pPr>
        <w:spacing w:after="60"/>
      </w:pPr>
      <w:r>
        <w:rPr>
          <w:b/>
          <w:bCs/>
        </w:rPr>
        <w:t xml:space="preserve">Категория: </w:t>
      </w:r>
      <w:r>
        <w:rPr>
          <w:i/>
          <w:iCs/>
          <w:color w:val="7a8aa0"/>
        </w:rPr>
        <w:t xml:space="preserve">3</w:t>
      </w:r>
    </w:p>
    <w:p>
      <w:pPr>
        <w:spacing w:after="60"/>
      </w:pPr>
      <w:r>
        <w:rPr>
          <w:b/>
          <w:bCs/>
        </w:rPr>
        <w:t xml:space="preserve">Номер и дата: </w:t>
      </w:r>
      <w:r>
        <w:rPr>
          <w:i/>
          <w:iCs/>
          <w:color w:val="7a8aa0"/>
        </w:rPr>
        <w:t xml:space="preserve">25002684, 29.01.2025</w:t>
      </w:r>
    </w:p>
    <w:p>
      <w:pPr>
        <w:spacing w:after="80"/>
      </w:pPr>
      <w:r>
        <w:rPr>
          <w:b/>
          <w:bCs/>
        </w:rPr>
        <w:t xml:space="preserve">Подвиды лицензии (каждый с новой строки):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i/>
          <w:iCs/>
          <w:color w:val="7a8aa0"/>
        </w:rPr>
        <w:t xml:space="preserve">устройство инженерных сетей (тепло-, водоснабжение, канализация, электро-, газоснабжение)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i/>
          <w:iCs/>
          <w:color w:val="7a8aa0"/>
        </w:rPr>
        <w:t xml:space="preserve">монтаж технологического оборудования и пусконаладочные работы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i/>
          <w:iCs/>
          <w:color w:val="7a8aa0"/>
        </w:rPr>
        <w:t xml:space="preserve">дымовые трубы, силосные сооружения, градирни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i/>
          <w:iCs/>
          <w:color w:val="7a8aa0"/>
        </w:rPr>
        <w:t xml:space="preserve">монтаж металлоконструкций; ж/б и бетонные конструкции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i/>
          <w:iCs/>
          <w:color w:val="7a8aa0"/>
        </w:rPr>
        <w:t xml:space="preserve">ЛЭП до 35 и 110 кВ; стальные резервуары; нефте-/газопроводы</w:t>
      </w:r>
    </w:p>
    <w:p>
      <w:pPr>
        <w:pStyle w:val="Heading1"/>
      </w:pPr>
      <w:r>
        <w:t xml:space="preserve">3. Опыт работы (аналогичные работы/услуги)</w:t>
      </w:r>
    </w:p>
    <w:p>
      <w:pPr>
        <w:spacing w:after="80"/>
      </w:pPr>
      <w:r>
        <w:rPr>
          <w:b/>
          <w:bCs/>
        </w:rPr>
        <w:t xml:space="preserve">Строки: Наименование работы | Заказчик | Сумма, тг | Год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i/>
          <w:iCs/>
          <w:color w:val="7a8aa0"/>
        </w:rPr>
        <w:t xml:space="preserve">Режимно-наладочные испытания котлоагрегатов ТЭЦ | АО «Алматинские электростанции» | 5 000 000 | 2013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i/>
          <w:iCs/>
          <w:color w:val="7a8aa0"/>
        </w:rPr>
        <w:t xml:space="preserve">Испытания золоулавливающих установок блоков | Экибастузская ГРЭС-1 | 12 000 000 | 2020-2025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i/>
          <w:iCs/>
          <w:color w:val="7a8aa0"/>
        </w:rPr>
        <w:t xml:space="preserve">Разработка НТД по топливоиспользованию | ТОО «Казахмыс Энерджи» | 8 000 000 | 2023-2024</w:t>
      </w:r>
    </w:p>
    <w:p>
      <w:pPr>
        <w:spacing w:after="120"/>
      </w:pPr>
      <w:r>
        <w:rPr>
          <w:color w:val="888888"/>
          <w:sz w:val="18"/>
          <w:szCs w:val="18"/>
        </w:rPr>
        <w:t xml:space="preserve">Всего у ИНТЕРПРО 31 аналогичная работа за 2013-2025. Перечислите ваши ключевые работы.</w:t>
      </w:r>
    </w:p>
    <w:p>
      <w:pPr>
        <w:pStyle w:val="Heading1"/>
      </w:pPr>
      <w:r>
        <w:t xml:space="preserve">4. Трудовые ресурсы (специалисты)</w:t>
      </w:r>
    </w:p>
    <w:p>
      <w:pPr>
        <w:spacing w:after="80"/>
      </w:pPr>
      <w:r>
        <w:rPr>
          <w:b/>
          <w:bCs/>
        </w:rPr>
        <w:t xml:space="preserve">Строки: ФИО | Должность | Образование / специальность | Стаж | Сертификаты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i/>
          <w:iCs/>
          <w:color w:val="7a8aa0"/>
        </w:rPr>
        <w:t xml:space="preserve">Самусенко Ю.С. | Директор, руководитель работ | высшее, теплоэнергетика | с 2013 | -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i/>
          <w:iCs/>
          <w:color w:val="7a8aa0"/>
        </w:rPr>
        <w:t xml:space="preserve">Разумов Лев Викторович | Инженер | высшее, 050602 «Автоматизация и управление» | … | -</w:t>
      </w:r>
    </w:p>
    <w:p>
      <w:pPr>
        <w:pStyle w:val="Heading1"/>
      </w:pPr>
      <w:r>
        <w:t xml:space="preserve">5. Материально-технические ресурсы</w:t>
      </w:r>
    </w:p>
    <w:p>
      <w:pPr>
        <w:spacing w:after="60"/>
      </w:pPr>
      <w:r>
        <w:rPr>
          <w:b/>
          <w:bCs/>
        </w:rPr>
        <w:t xml:space="preserve">Оборудование и приборы: </w:t>
      </w:r>
      <w:r>
        <w:rPr>
          <w:i/>
          <w:iCs/>
          <w:color w:val="7a8aa0"/>
        </w:rPr>
        <w:t xml:space="preserve">газоанализаторы, тягонапоромеры, расходомеры, тепловизор</w:t>
      </w:r>
    </w:p>
    <w:p>
      <w:pPr>
        <w:spacing w:after="60"/>
      </w:pPr>
      <w:r>
        <w:rPr>
          <w:b/>
          <w:bCs/>
        </w:rPr>
        <w:t xml:space="preserve">Производственная база: </w:t>
      </w:r>
      <w:r>
        <w:rPr>
          <w:i/>
          <w:iCs/>
          <w:color w:val="7a8aa0"/>
        </w:rPr>
        <w:t xml:space="preserve">г. Караганда, ул. Космонавтов, 1/8</w:t>
      </w:r>
    </w:p>
    <w:p>
      <w:pPr>
        <w:pStyle w:val="Heading1"/>
      </w:pPr>
      <w:r>
        <w:t xml:space="preserve">6. Финансовая устойчивость</w:t>
      </w:r>
    </w:p>
    <w:p>
      <w:pPr>
        <w:spacing w:after="60"/>
      </w:pPr>
      <w:r>
        <w:rPr>
          <w:b/>
          <w:bCs/>
        </w:rPr>
        <w:t xml:space="preserve">Годовой оборот, тг: </w:t>
      </w:r>
      <w:r>
        <w:rPr>
          <w:i/>
          <w:iCs/>
          <w:color w:val="7a8aa0"/>
        </w:rPr>
        <w:t xml:space="preserve">укажите сумму</w:t>
      </w:r>
    </w:p>
    <w:p>
      <w:pPr>
        <w:spacing w:after="60"/>
      </w:pPr>
      <w:r>
        <w:rPr>
          <w:b/>
          <w:bCs/>
        </w:rPr>
        <w:t xml:space="preserve">Активы, тг: </w:t>
      </w:r>
      <w:r>
        <w:rPr>
          <w:i/>
          <w:iCs/>
          <w:color w:val="7a8aa0"/>
        </w:rPr>
        <w:t xml:space="preserve">укажите сумму</w:t>
      </w:r>
    </w:p>
    <w:p>
      <w:pPr>
        <w:spacing w:after="60"/>
      </w:pPr>
      <w:r>
        <w:rPr>
          <w:b/>
          <w:bCs/>
        </w:rPr>
        <w:t xml:space="preserve">Налоговая задолженность отсутствует (да/нет): </w:t>
      </w:r>
      <w:r>
        <w:rPr>
          <w:i/>
          <w:iCs/>
          <w:color w:val="7a8aa0"/>
        </w:rPr>
        <w:t xml:space="preserve">да</w:t>
      </w:r>
    </w:p>
    <w:p>
      <w:pPr>
        <w:spacing w:after="60"/>
      </w:pPr>
      <w:r>
        <w:rPr>
          <w:b/>
          <w:bCs/>
        </w:rPr>
        <w:t xml:space="preserve">В процедуре банкротства/ликвидации (да/нет): </w:t>
      </w:r>
      <w:r>
        <w:rPr>
          <w:i/>
          <w:iCs/>
          <w:color w:val="7a8aa0"/>
        </w:rPr>
        <w:t xml:space="preserve">нет</w:t>
      </w:r>
    </w:p>
    <w:p>
      <w:pPr>
        <w:pStyle w:val="Heading1"/>
      </w:pPr>
      <w:r>
        <w:t xml:space="preserve">7. Сертификаты систем менеджмента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i/>
          <w:iCs/>
          <w:color w:val="7a8aa0"/>
        </w:rPr>
        <w:t xml:space="preserve">СТ РК ISO 9001 (менеджмент качества) — при наличии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i/>
          <w:iCs/>
          <w:color w:val="7a8aa0"/>
        </w:rPr>
        <w:t xml:space="preserve">ISO 14001 / ISO 45001 — при наличии</w:t>
      </w:r>
    </w:p>
    <w:p>
      <w:pPr>
        <w:pStyle w:val="Heading1"/>
      </w:pPr>
      <w:r>
        <w:t xml:space="preserve">8. Реестр недобросовестных участников (РНУ)</w:t>
      </w:r>
    </w:p>
    <w:p>
      <w:pPr>
        <w:spacing w:after="60"/>
      </w:pPr>
      <w:r>
        <w:rPr>
          <w:b/>
          <w:bCs/>
        </w:rPr>
        <w:t xml:space="preserve">Отсутствует в РНУ (да/нет): </w:t>
      </w:r>
      <w:r>
        <w:rPr>
          <w:i/>
          <w:iCs/>
          <w:color w:val="7a8aa0"/>
        </w:rPr>
        <w:t xml:space="preserve">да</w:t>
      </w:r>
    </w:p>
    <w:p>
      <w:pPr>
        <w:pStyle w:val="Heading1"/>
      </w:pPr>
      <w:r>
        <w:t xml:space="preserve">9. Целевые ниши (для поиска тендеров)</w:t>
      </w:r>
    </w:p>
    <w:p>
      <w:pPr>
        <w:spacing w:after="80"/>
      </w:pPr>
      <w:r>
        <w:rPr>
          <w:b/>
          <w:bCs/>
        </w:rPr>
        <w:t xml:space="preserve">Ключевые слова (что искать; каждое с новой строки):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i/>
          <w:iCs/>
          <w:color w:val="7a8aa0"/>
        </w:rPr>
        <w:t xml:space="preserve">энергоаудит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i/>
          <w:iCs/>
          <w:color w:val="7a8aa0"/>
        </w:rPr>
        <w:t xml:space="preserve">котельн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i/>
          <w:iCs/>
          <w:color w:val="7a8aa0"/>
        </w:rPr>
        <w:t xml:space="preserve">наладка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i/>
          <w:iCs/>
          <w:color w:val="7a8aa0"/>
        </w:rPr>
        <w:t xml:space="preserve">турбин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i/>
          <w:iCs/>
          <w:color w:val="7a8aa0"/>
        </w:rPr>
        <w:t xml:space="preserve">обследование зданий</w:t>
      </w:r>
    </w:p>
    <w:p>
      <w:pPr>
        <w:spacing w:after="80"/>
      </w:pPr>
      <w:r>
        <w:rPr>
          <w:b/>
          <w:bCs/>
        </w:rPr>
        <w:t xml:space="preserve">Стоп-слова (что исключать; каждое с новой строки):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i/>
          <w:iCs/>
          <w:color w:val="7a8aa0"/>
        </w:rPr>
        <w:t xml:space="preserve">медицин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i/>
          <w:iCs/>
          <w:color w:val="7a8aa0"/>
        </w:rPr>
        <w:t xml:space="preserve">проездной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i/>
          <w:iCs/>
          <w:color w:val="7a8aa0"/>
        </w:rPr>
        <w:t xml:space="preserve">продукты питания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600" w:hanging="3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00" w:before="220"/>
      <w:outlineLvl w:val="0"/>
    </w:pPr>
    <w:rPr>
      <w:rFonts w:ascii="Arial" w:cs="Arial" w:eastAsia="Arial" w:hAnsi="Arial"/>
      <w:b/>
      <w:bCs/>
      <w:color w:val="1F4E79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2026-06-26T11:46:37.439Z</dcterms:created>
  <dcterms:modified xsi:type="dcterms:W3CDTF">2026-06-26T11:46:37.439Z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